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jc w:val="center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TÉRMINOS Y CONDICIONES DE LA CAMPAÑA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jc w:val="center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 “Foro Perspectivas 2025”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jc w:val="center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La participación en la campaña “Foro Perspectivas 2025” (la “Campaña”) implica el conocimiento pleno y la aceptación total de los siguientes términos y condiciones: </w:t>
      </w:r>
    </w:p>
    <w:p w:rsidR="00000000" w:rsidDel="00000000" w:rsidP="00000000" w:rsidRDefault="00000000" w:rsidRPr="00000000" w14:paraId="00000005">
      <w:pPr>
        <w:widowControl w:val="0"/>
        <w:spacing w:before="234.98779296875" w:line="240" w:lineRule="auto"/>
        <w:ind w:left="15.800018310546875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1. Propósito </w:t>
      </w:r>
    </w:p>
    <w:p w:rsidR="00000000" w:rsidDel="00000000" w:rsidP="00000000" w:rsidRDefault="00000000" w:rsidRPr="00000000" w14:paraId="00000006">
      <w:pPr>
        <w:widowControl w:val="0"/>
        <w:spacing w:before="226.561279296875" w:line="240" w:lineRule="auto"/>
        <w:ind w:left="6.60003662109375" w:right="2.928466796875" w:firstLine="8.000030517578125"/>
        <w:jc w:val="both"/>
        <w:rPr>
          <w:color w:val="1d1c1d"/>
          <w:sz w:val="23"/>
          <w:szCs w:val="23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La Campaña busca promover la democratización y el fácil acceso al mercado bursátil, facilitando las operaciones de compra y venta de valores, y con ocasión a la campaña “Foro Perspectivas 2025”,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las operaciones sobre los nemotécnicos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highlight w:val="white"/>
          <w:rtl w:val="0"/>
        </w:rPr>
        <w:t xml:space="preserve">PEI, MINEROS y JETS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(en adelante las “Valores”) correspondientes a la acción emitidas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 por Patrimonio Autónomo Estrategias Inmobiliarias, Mineros S.A. y Us Global</w:t>
      </w:r>
      <w:r w:rsidDel="00000000" w:rsidR="00000000" w:rsidRPr="00000000">
        <w:rPr>
          <w:rFonts w:ascii="Open Sans" w:cs="Open Sans" w:eastAsia="Open Sans" w:hAnsi="Open Sans"/>
          <w:color w:val="202124"/>
          <w:sz w:val="20"/>
          <w:szCs w:val="20"/>
          <w:highlight w:val="white"/>
          <w:rtl w:val="0"/>
        </w:rPr>
        <w:t xml:space="preserve"> Investors Inc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, respectivamente (en adelante “los Patrocinadores”).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before="226.561279296875" w:line="240" w:lineRule="auto"/>
        <w:ind w:left="6.60003662109375" w:right="2.928466796875" w:firstLine="0"/>
        <w:jc w:val="both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Las órdenes de compra y venta de las Acciones que ingresen y se ejecuten en Acciones y Valores a través de su Sistema Electrónico de Ruteo de Órdenes trii App ( la “App” o “trii”) el día viernes veintiuno (21) de febrero de 2025, y que cumplan con la totalidad de las condiciones indicadas en los presentes Términos y Condiciones,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 no tendrán ningún costo de comisión para el Participante. </w:t>
      </w:r>
    </w:p>
    <w:p w:rsidR="00000000" w:rsidDel="00000000" w:rsidP="00000000" w:rsidRDefault="00000000" w:rsidRPr="00000000" w14:paraId="00000008">
      <w:pPr>
        <w:widowControl w:val="0"/>
        <w:spacing w:before="234.98779296875" w:line="240" w:lineRule="auto"/>
        <w:ind w:left="5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2. Destinatarios </w:t>
      </w:r>
    </w:p>
    <w:p w:rsidR="00000000" w:rsidDel="00000000" w:rsidP="00000000" w:rsidRDefault="00000000" w:rsidRPr="00000000" w14:paraId="00000009">
      <w:pPr>
        <w:widowControl w:val="0"/>
        <w:spacing w:before="226.5606689453125" w:line="240" w:lineRule="auto"/>
        <w:ind w:left="7.400054931640625" w:right="6.278076171875" w:firstLine="7.20001220703125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La Campaña está dirigida a aquellas personas que (i) descarguen en Play Store, App Store o en App Gallery la App, (ii) creen una cuenta, (iii) validen su identidad, (iv) recarguen el saldo y (v) se encuentren listos para operar el día viernes veintiuno (21) de febrero de 2025 , (en adelante los “Participantes”).</w:t>
      </w:r>
    </w:p>
    <w:p w:rsidR="00000000" w:rsidDel="00000000" w:rsidP="00000000" w:rsidRDefault="00000000" w:rsidRPr="00000000" w14:paraId="0000000A">
      <w:pPr>
        <w:widowControl w:val="0"/>
        <w:spacing w:before="234.98779296875" w:line="240" w:lineRule="auto"/>
        <w:ind w:left="7.599945068359375" w:firstLine="0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3. Beneficio sobre Comisión </w:t>
      </w:r>
    </w:p>
    <w:p w:rsidR="00000000" w:rsidDel="00000000" w:rsidP="00000000" w:rsidRDefault="00000000" w:rsidRPr="00000000" w14:paraId="0000000B">
      <w:pPr>
        <w:widowControl w:val="0"/>
        <w:spacing w:before="226.56005859375" w:line="240" w:lineRule="auto"/>
        <w:ind w:left="3.2000732421875" w:firstLine="0"/>
        <w:jc w:val="both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Las primeras mil (1.000)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operaciones de compra y/o venta de los Valores que se ejecuten el día viernes veintiuno (21) de febrero de 2025, de acuerdo con estos términos y condiciones,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no tendrán valor de comisión para los Participantes (el “Beneficio”). </w:t>
      </w:r>
    </w:p>
    <w:p w:rsidR="00000000" w:rsidDel="00000000" w:rsidP="00000000" w:rsidRDefault="00000000" w:rsidRPr="00000000" w14:paraId="0000000C">
      <w:pPr>
        <w:widowControl w:val="0"/>
        <w:spacing w:before="226.56005859375" w:line="240" w:lineRule="auto"/>
        <w:ind w:left="3.2000732421875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Para llegar al número de mil (1.000) operaciones se tendrá en cuenta las operaciones que se realicen de manera conjunta entre los nemotécnicos PEI, MINEROS y JETS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before="234.9871826171875" w:line="240" w:lineRule="auto"/>
        <w:ind w:left="3.800048828125" w:firstLine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4. Condiciones </w:t>
      </w:r>
    </w:p>
    <w:p w:rsidR="00000000" w:rsidDel="00000000" w:rsidP="00000000" w:rsidRDefault="00000000" w:rsidRPr="00000000" w14:paraId="0000000E">
      <w:pPr>
        <w:widowControl w:val="0"/>
        <w:spacing w:before="226.56005859375" w:line="240" w:lineRule="auto"/>
        <w:ind w:left="7.79998779296875" w:right="13.343505859375" w:hanging="5.200042724609375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highlight w:val="white"/>
          <w:rtl w:val="0"/>
        </w:rPr>
        <w:t xml:space="preserve">4.1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Para que una operación sea objeto del Beneficio deberá cumplir de manera conjunta con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con los siguientes requisitos: </w:t>
      </w:r>
    </w:p>
    <w:p w:rsidR="00000000" w:rsidDel="00000000" w:rsidP="00000000" w:rsidRDefault="00000000" w:rsidRPr="00000000" w14:paraId="0000000F">
      <w:pPr>
        <w:widowControl w:val="0"/>
        <w:spacing w:before="234.98779296875" w:line="240" w:lineRule="auto"/>
        <w:ind w:left="720" w:right="2.9638671875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4.1.1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Ser de las primeras mil (1.000) operaciones de compra o venta que se realicen sobre los nemotécnicos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 PEI, MINEROS y JETS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 través del Sistema Electrónico de Ruteo de Órdenes trii App de Acciones y Valores, y que sean ejecutadas el día viernes veintiuno  (21) de febrero de 2025 en los horarios de negociación habilitados por la Bolsa de Valores de Colombia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;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y </w:t>
      </w:r>
    </w:p>
    <w:p w:rsidR="00000000" w:rsidDel="00000000" w:rsidP="00000000" w:rsidRDefault="00000000" w:rsidRPr="00000000" w14:paraId="00000010">
      <w:pPr>
        <w:widowControl w:val="0"/>
        <w:spacing w:before="234.98779296875" w:line="240" w:lineRule="auto"/>
        <w:ind w:left="720" w:right="2.9638671875" w:firstLine="0"/>
        <w:jc w:val="both"/>
        <w:rPr>
          <w:rFonts w:ascii="Open Sans" w:cs="Open Sans" w:eastAsia="Open Sans" w:hAnsi="Open Sans"/>
          <w:sz w:val="20"/>
          <w:szCs w:val="20"/>
          <w:highlight w:val="white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highlight w:val="white"/>
          <w:rtl w:val="0"/>
        </w:rPr>
        <w:t xml:space="preserve">4.1.2.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highlight w:val="white"/>
          <w:rtl w:val="0"/>
        </w:rPr>
        <w:t xml:space="preserve"> Su monto individual no podrá ser menor a la suma de treinta mil pesos colombianos (COP$30.000). </w:t>
      </w:r>
    </w:p>
    <w:p w:rsidR="00000000" w:rsidDel="00000000" w:rsidP="00000000" w:rsidRDefault="00000000" w:rsidRPr="00000000" w14:paraId="00000011">
      <w:pPr>
        <w:widowControl w:val="0"/>
        <w:spacing w:before="234.9884033203125" w:line="240" w:lineRule="auto"/>
        <w:ind w:left="6.7999267578125" w:right="0.579833984375" w:firstLine="8.600006103515625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Parágrafo primero: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Acciones y Valores y trii son los responsables de dar a conocer las condiciones y los casos aquí descritos en que el Participante o cliente debe asumir el costo de las comisiones por las operaciones realizadas. </w:t>
      </w:r>
    </w:p>
    <w:p w:rsidR="00000000" w:rsidDel="00000000" w:rsidP="00000000" w:rsidRDefault="00000000" w:rsidRPr="00000000" w14:paraId="00000012">
      <w:pPr>
        <w:widowControl w:val="0"/>
        <w:spacing w:before="234.98748779296875" w:line="240" w:lineRule="auto"/>
        <w:ind w:left="12.79998779296875" w:right="11.09619140625" w:firstLine="2.599945068359375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Parágrafo segundo: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Por mera liberalidad y en cualquier momento, el Patrocinador podrá aumentar el número de operaciones indicadas en el numeral 4.1.1. anterior. </w:t>
      </w:r>
    </w:p>
    <w:p w:rsidR="00000000" w:rsidDel="00000000" w:rsidP="00000000" w:rsidRDefault="00000000" w:rsidRPr="00000000" w14:paraId="00000013">
      <w:pPr>
        <w:widowControl w:val="0"/>
        <w:spacing w:before="234.98779296875" w:line="240" w:lineRule="auto"/>
        <w:ind w:left="8.39996337890625" w:firstLine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5. Limitación de responsabilidad </w:t>
      </w:r>
    </w:p>
    <w:p w:rsidR="00000000" w:rsidDel="00000000" w:rsidP="00000000" w:rsidRDefault="00000000" w:rsidRPr="00000000" w14:paraId="00000014">
      <w:pPr>
        <w:spacing w:before="12" w:lin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12" w:line="240" w:lineRule="auto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5.1 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Los Participantes declaran conocer y aceptar los riesgos asociados a la decisión de invertir en el mercado de valores, en especial en los valores de media liquidez o bursatilidad y asumen íntegramente tales riesgos de manera individual y exclusiva, sin que pueda entenderse que el Patrocinador y/o Acciones y Valores S.A. Garantizan, explícita o implícitamente, los rendimientos de las operaciones, el pago de dividendos de las acciones adquiridas o el valor de estas.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5.2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Adicionalmente, los Participantes declaran conocer que: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5.2.1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 Ni el Patrocinador ni trii, ni Acciones y Valores, son responsables por las fluctuaciones de mercado a las que puedan estar sometidas los Valores. En tal sentido, el precio de los Valores NO depende de trii ni Acciones y Valores S.A. Comisionista de Bolsa. Por lo tanto, no garantizan su valor en el mercado, valorizaciones o ganancias.</w:t>
      </w:r>
    </w:p>
    <w:p w:rsidR="00000000" w:rsidDel="00000000" w:rsidP="00000000" w:rsidRDefault="00000000" w:rsidRPr="00000000" w14:paraId="0000001A">
      <w:pPr>
        <w:spacing w:line="240" w:lineRule="auto"/>
        <w:ind w:left="72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ind w:left="72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5.2.2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La Campaña no incluye comisiones de compra, venta, intermediación, suscripciones ni cualquier valor adicional que el Partícipe deba pagar con el fin de transar o negociar la misma. </w:t>
      </w:r>
    </w:p>
    <w:p w:rsidR="00000000" w:rsidDel="00000000" w:rsidP="00000000" w:rsidRDefault="00000000" w:rsidRPr="00000000" w14:paraId="0000001C">
      <w:pPr>
        <w:spacing w:line="240" w:lineRule="auto"/>
        <w:ind w:left="72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72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5.2.3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La Campaña no implica un acto de asesoría, oferta, recomendación, consejo o cualquier otro similar por parte del Patrocinador, trii o de Acciones y Valores,  ni un acto de promoción de un emisor particular, ni de recomendación sobre uno de ellos. </w:t>
      </w:r>
    </w:p>
    <w:p w:rsidR="00000000" w:rsidDel="00000000" w:rsidP="00000000" w:rsidRDefault="00000000" w:rsidRPr="00000000" w14:paraId="0000001E">
      <w:pPr>
        <w:spacing w:line="240" w:lineRule="auto"/>
        <w:ind w:left="72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ind w:left="720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5.2.4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La inversión en Valores es un mecanismo de inversión y por lo tanto está sujeta a pérdidas o ganancias, de acuerdo con las variaciones del mercado. LA INVERSIÓN EN VALORES NO ES UN MECANISMO DE AHORRO. </w:t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5.3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Los Participantes declaran conocer los distintos Emisores listados en la Bolsa de Valores de Colombia y declaran que en ningún momento la Campaña obstaculiza la libre concurrencia para la negociación de valores. </w:t>
      </w:r>
    </w:p>
    <w:p w:rsidR="00000000" w:rsidDel="00000000" w:rsidP="00000000" w:rsidRDefault="00000000" w:rsidRPr="00000000" w14:paraId="00000022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5.4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 En cumplimiento de lo permitido por la normativa colombiana, Acciones y Valores, trii  y/o el Patrocinador podrá suspender de forma inmediata la Campaña, sin asumir responsabilidad alguna, si se llegasen a detectar delitos, fraudes o cualquier irregularidad en la forma de participar de los participantes, o si se presentara alguna circunstancia de fuerza mayor o caso fortuito. En tal caso, se comunicará al público en general de los cambios a que haya lugar.</w:t>
      </w:r>
    </w:p>
    <w:p w:rsidR="00000000" w:rsidDel="00000000" w:rsidP="00000000" w:rsidRDefault="00000000" w:rsidRPr="00000000" w14:paraId="00000024">
      <w:pPr>
        <w:widowControl w:val="0"/>
        <w:spacing w:before="464.96826171875" w:line="240" w:lineRule="auto"/>
        <w:ind w:left="8.39996337890625" w:firstLine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6. Revisión de los Términos y Condiciones </w:t>
      </w:r>
    </w:p>
    <w:p w:rsidR="00000000" w:rsidDel="00000000" w:rsidP="00000000" w:rsidRDefault="00000000" w:rsidRPr="00000000" w14:paraId="00000025">
      <w:pPr>
        <w:widowControl w:val="0"/>
        <w:spacing w:before="226.5606689453125" w:line="240" w:lineRule="auto"/>
        <w:ind w:left="13.2000732421875" w:right="4.571533203125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Acciones y Valores, trii y el Patrocinador se reserva el derecho, a su sola discreción y siempre que lo permita la ley, a modificar los términos y condiciones de la Campaña aquí contenidos. </w:t>
      </w:r>
    </w:p>
    <w:p w:rsidR="00000000" w:rsidDel="00000000" w:rsidP="00000000" w:rsidRDefault="00000000" w:rsidRPr="00000000" w14:paraId="00000026">
      <w:pPr>
        <w:widowControl w:val="0"/>
        <w:spacing w:before="234.98779296875" w:line="240" w:lineRule="auto"/>
        <w:ind w:left="8.2000732421875" w:firstLine="0"/>
        <w:jc w:val="both"/>
        <w:rPr>
          <w:rFonts w:ascii="Open Sans" w:cs="Open Sans" w:eastAsia="Open Sans" w:hAnsi="Open Sans"/>
          <w:b w:val="1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7. Tratamiento de datos personales </w:t>
      </w:r>
    </w:p>
    <w:p w:rsidR="00000000" w:rsidDel="00000000" w:rsidP="00000000" w:rsidRDefault="00000000" w:rsidRPr="00000000" w14:paraId="00000027">
      <w:pPr>
        <w:widowControl w:val="0"/>
        <w:spacing w:before="226.56005859375" w:line="240" w:lineRule="auto"/>
        <w:ind w:left="6.199951171875" w:right="14.0771484375" w:firstLine="9.199981689453125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De conformidad con lo dispuesto en la Ley 1581 de 2012, el Decreto 1377 del 2013 y las normas complementarias, el participante autoriza irrevocablemente que los datos de carácter personal del cliente que se obtengan en virtud de la Campaña sean tratados en una o varias bases de datos administrada por Acciones y Valores S.A., por el Patrocinador y por trii, las cuales serán tratadas según las políticas de protección de datos personales de cada Compañía. </w:t>
      </w:r>
    </w:p>
    <w:p w:rsidR="00000000" w:rsidDel="00000000" w:rsidP="00000000" w:rsidRDefault="00000000" w:rsidRPr="00000000" w14:paraId="00000028">
      <w:pPr>
        <w:widowControl w:val="0"/>
        <w:spacing w:before="234.986572265625" w:line="240" w:lineRule="auto"/>
        <w:ind w:left="6.60003662109375" w:right="1.611328125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Acciones y Valores S.A. será responsable de su administración junto con los encargados que este designe, e implementará las medidas de seguridad necesarias para la conservación y protección de los mismos. Asimismo, los datos personales de los clientes serán recopilados para fines operativos, comerciales y de mercadeo, de prevención de riesgo y estadísticos, por Acciones y Valores S.A. y por cualquiera de sus aliados comerciales, y en general, para permitir el cumplimiento de las obligaciones de Acciones y Valores S.A. que le sean exigibles por disposiciones legales o reglamentarias.</w:t>
      </w:r>
    </w:p>
    <w:p w:rsidR="00000000" w:rsidDel="00000000" w:rsidP="00000000" w:rsidRDefault="00000000" w:rsidRPr="00000000" w14:paraId="00000029">
      <w:pPr>
        <w:widowControl w:val="0"/>
        <w:spacing w:before="234.986572265625" w:line="240" w:lineRule="auto"/>
        <w:ind w:left="6.60003662109375" w:right="1.611328125" w:firstLine="0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8</w:t>
      </w: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. </w:t>
      </w:r>
      <w:r w:rsidDel="00000000" w:rsidR="00000000" w:rsidRPr="00000000">
        <w:rPr>
          <w:rFonts w:ascii="Open Sans" w:cs="Open Sans" w:eastAsia="Open Sans" w:hAnsi="Open Sans"/>
          <w:b w:val="1"/>
          <w:sz w:val="20"/>
          <w:szCs w:val="20"/>
          <w:rtl w:val="0"/>
        </w:rPr>
        <w:t xml:space="preserve">Ley Aplicable.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Fonts w:ascii="Open Sans" w:cs="Open Sans" w:eastAsia="Open Sans" w:hAnsi="Open Sans"/>
          <w:sz w:val="20"/>
          <w:szCs w:val="20"/>
          <w:rtl w:val="0"/>
        </w:rPr>
        <w:t xml:space="preserve">La ley aplicable para cualquier controversia que surja con relación a la Campaña será la Ley colombiana y renuncian a su derecho a iniciar cualquier tipo de reclamación en otra jurisdicción.</w:t>
      </w:r>
    </w:p>
    <w:p w:rsidR="00000000" w:rsidDel="00000000" w:rsidP="00000000" w:rsidRDefault="00000000" w:rsidRPr="00000000" w14:paraId="0000002C">
      <w:pPr>
        <w:spacing w:after="240" w:before="240" w:lineRule="auto"/>
        <w:jc w:val="both"/>
        <w:rPr>
          <w:rFonts w:ascii="Open Sans" w:cs="Open Sans" w:eastAsia="Open Sans" w:hAnsi="Open San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1zIo4Cqj87foM3qFuQ8AGgqSqg==">CgMxLjA4AHIhMWNCT1l4SDlfa0FEbzJ0X0FpRS0tb3lOdWJySUdVa0R0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